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4"/>
        </w:rPr>
      </w:pPr>
      <w:bookmarkStart w:id="1" w:name="_Hlk87112935"/>
      <w:r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>Single-crystalline nanomembranes for</w:t>
      </w:r>
      <w:r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 xml:space="preserve">flexible/stackable electronics: </w:t>
      </w:r>
      <w:r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>third</w:t>
      </w:r>
      <w:r>
        <w:rPr>
          <w:rFonts w:ascii="맑은 고딕" w:eastAsia="맑은 고딕" w:hAnsi="맑은 고딕" w:hint="eastAsia"/>
          <w:b/>
          <w:bCs/>
          <w:color w:val="000000"/>
          <w:sz w:val="21"/>
          <w:szCs w:val="21"/>
        </w:rPr>
        <w:t xml:space="preserve"> part</w:t>
      </w: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4"/>
        </w:rPr>
      </w:pPr>
    </w:p>
    <w:p>
      <w:pPr>
        <w:jc w:val="center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Jeehwan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Kim</w:t>
      </w:r>
    </w:p>
    <w:p>
      <w:pPr>
        <w:jc w:val="center"/>
        <w:spacing w:line="240" w:lineRule="auto"/>
        <w:rPr>
          <w:rFonts w:ascii="맑은 고딕" w:eastAsia="맑은 고딕" w:hAnsi="맑은 고딕"/>
          <w:color w:val="000000"/>
          <w:sz w:val="21"/>
          <w:szCs w:val="21"/>
        </w:rPr>
      </w:pPr>
      <w:r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Associate Professor of Mechanical Engineering &amp; Associate Professor </w:t>
      </w:r>
    </w:p>
    <w:p>
      <w:pPr>
        <w:jc w:val="cente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맑은 고딕" w:eastAsia="맑은 고딕" w:hAnsi="맑은 고딕" w:hint="eastAsia"/>
          <w:color w:val="000000"/>
          <w:sz w:val="21"/>
          <w:szCs w:val="21"/>
        </w:rPr>
        <w:t>of Materials Science and Engineering, MIT</w:t>
      </w:r>
    </w:p>
    <w:p>
      <w:pPr>
        <w:rPr>
          <w:rFonts w:ascii="Times New Roman" w:hAnsi="Times New Roman" w:cs="Times New Roman"/>
          <w:sz w:val="24"/>
          <w:szCs w:val="24"/>
        </w:rPr>
      </w:pPr>
      <w:bookmarkStart w:id="2" w:name="_Hlk87110945"/>
      <w:r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 In the context of the future of electronics, encompassing fields like bioelectronics, 3D integrated electronics, and bendable electronics, the demand for flexibility and </w:t>
      </w:r>
      <w:r>
        <w:rPr>
          <w:rFonts w:ascii="맑은 고딕" w:eastAsia="맑은 고딕" w:hAnsi="맑은 고딕" w:hint="eastAsia"/>
          <w:color w:val="000000"/>
          <w:sz w:val="21"/>
          <w:szCs w:val="21"/>
        </w:rPr>
        <w:t>stackability</w:t>
      </w:r>
      <w:r>
        <w:rPr>
          <w:rFonts w:ascii="맑은 고딕" w:eastAsia="맑은 고딕" w:hAnsi="맑은 고딕" w:hint="eastAsia"/>
          <w:color w:val="000000"/>
          <w:sz w:val="21"/>
          <w:szCs w:val="21"/>
        </w:rPr>
        <w:t xml:space="preserve"> in electronic products has significantly increased. However, conventional wafer-based single-crystalline semiconductors find it challenging to keep pace with these trends due to their inherent attachment to thick, rigid wafers, rendering them inflexible and non-stackable. While polymer-based organic electronic materials offer mechanical compliance and cost-efficiency advantages, their electronic and photonic performance lags substantially behind that of single-crystalline inorganic materials. Over the past half-decade, our research group at MIT has been dedicated to addressing this performance-mechanical compliance dilemma. We have focused on developing methods to create cost-effective, flexible, and stackable single-crystalline inorganic systems. In today's presentation, I will delve into the strategies we have developed to realize this dream electronic system [1-5], and how these strategies introduce innovative approaches to advanced electronic manufacturing [6-11]. I will particularly highlight our groundbreaking remote epitaxy technique, capable of producing single-crystalline freestanding membranes from various compound materials with exceptional semiconducting performance. Additionally, I will showcase an unprecedented flexible and stackable system enabled by the stacking of these freestanding, flexible membranes.</w:t>
      </w:r>
      <w:bookmarkEnd w:id="2"/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jc w:val="both"/>
        <w:rPr>
          <w:rFonts w:ascii="Times New Roman" w:hAnsi="Times New Roman" w:cs="Times New Roman"/>
        </w:rPr>
      </w:pPr>
      <w:bookmarkStart w:id="3" w:name="_Hlk138196146"/>
      <w:r>
        <w:rPr>
          <w:rFonts w:ascii="Times New Roman" w:hAnsi="Times New Roman" w:cs="Times New Roman"/>
          <w:noProof/>
        </w:rPr>
        <w:drawing>
          <wp:inline distT="0" distB="0" distL="0" distR="0">
            <wp:extent cx="1755155" cy="1843667"/>
            <wp:effectExtent l="0" t="0" r="0" b="0"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0" r="7289" b="22418"/>
                    <a:stretch>
                      <a:fillRect/>
                    </a:stretch>
                  </pic:blipFill>
                  <pic:spPr>
                    <a:xfrm>
                      <a:off x="0" y="0"/>
                      <a:ext cx="1755155" cy="1843667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Biography       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</w:t>
      </w:r>
      <w:r>
        <w:rPr>
          <w:rFonts w:ascii="Times New Roman" w:hAnsi="Times New Roman" w:cs="Times New Roman"/>
        </w:rPr>
        <w:t>Jeehwan</w:t>
      </w:r>
      <w:r>
        <w:rPr>
          <w:rFonts w:ascii="Times New Roman" w:hAnsi="Times New Roman" w:cs="Times New Roman"/>
        </w:rPr>
        <w:t xml:space="preserve"> Kim is a tenured faculty at MIT. His research group’s focuses on material innovations for next generation computing and electronics. Prof. Kim joined MIT in September 2015. Before joining MIT, he was a Research Staff Member at IBM T.J. Watson Research Center in Yorktown Heights, NY since 2008 right after his Ph.D. He worked on next generation CMOS and energy materials/devices at IBM. Prof. Kim is a recipient of 20 IBM high value invention achievement awards. In 2012, he was appointed a “Master Inventor” of IBM in recognition of his active intellectual property generation and commercialization of his research. After joining MIT, he continuously worked nanotechnology for advanced electronics/photonics. As its recognition, he received LAM Research foundation Award, IBM Faculty Award, DARPA Young Faculty Award, and DARPA Director’s Fellowship. </w:t>
      </w:r>
      <w:r>
        <w:rPr>
          <w:rFonts w:ascii="Times New Roman" w:hAnsi="Times New Roman" w:cs="Times New Roman"/>
        </w:rPr>
        <w:t xml:space="preserve">He is now serving as Samsung Fellow. </w:t>
      </w:r>
      <w:r>
        <w:rPr>
          <w:rFonts w:ascii="Times New Roman" w:hAnsi="Times New Roman" w:cs="Times New Roman"/>
        </w:rPr>
        <w:t xml:space="preserve">He is an inventor of &gt; 200 issued/pending US patents and an author of &gt; 50 articles in peer-reviewed journals. He currently serves as Associate Editor of </w:t>
      </w:r>
      <w:r>
        <w:rPr>
          <w:rFonts w:ascii="Times New Roman" w:hAnsi="Times New Roman" w:cs="Times New Roman"/>
          <w:i/>
        </w:rPr>
        <w:t>Science Advances</w:t>
      </w:r>
      <w:r>
        <w:rPr>
          <w:rFonts w:ascii="Times New Roman" w:hAnsi="Times New Roman" w:cs="Times New Roman"/>
        </w:rPr>
        <w:t xml:space="preserve">, AAAS. He received his B.S. from Hongik University, his M.S. from Seoul National University, and his Ph.D. from UCLA, all of them in Materials Science. </w:t>
      </w:r>
    </w:p>
    <w:p>
      <w:pPr>
        <w:rPr>
          <w:rFonts w:ascii="Times New Roman" w:hAnsi="Times New Roman" w:cs="Times New Roman"/>
        </w:rPr>
      </w:pPr>
      <w:bookmarkEnd w:id="1"/>
      <w:bookmarkEnd w:id="3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Times New Roman"/>
    <w:charset w:val="00"/>
    <w:notTrueType w:val="false"/>
    <w:sig w:usb0="E0002EFF" w:usb1="C000785B" w:usb2="00000009" w:usb3="00000001" w:csb0="400001FF" w:csb1="FFFF0000"/>
  </w:font>
  <w:font w:name="맑은 고딕">
    <w:panose1 w:val="020B0503020000020004"/>
    <w:family w:val="Malgun Gothic"/>
    <w:charset w:val="00"/>
    <w:notTrueType w:val="false"/>
    <w:sig w:usb0="9000002F" w:usb1="29D77CFB" w:usb2="00000012" w:usb3="00000001" w:csb0="00080001" w:csb1="00000001"/>
  </w:font>
  <w:font w:name="Segoe UI">
    <w:panose1 w:val="020B0502040204020203"/>
    <w:family w:val="Segoe UI"/>
    <w:charset w:val="00"/>
    <w:notTrueType w:val="false"/>
    <w:sig w:usb0="E4002EFF" w:usb1="C000E47F" w:usb2="00000009" w:usb3="00000001" w:csb0="200001FF" w:csb1="00000001"/>
  </w:font>
  <w:font w:name="Calibri">
    <w:panose1 w:val="020F0502020204030204"/>
    <w:family w:val="Calibri"/>
    <w:charset w:val="00"/>
    <w:notTrueType w:val="false"/>
    <w:sig w:usb0="E4002EFF" w:usb1="C2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99"/>
    <w:basedOn w:val="a"/>
    <w:link w:val="Char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uiPriority w:val="99"/>
    <w:basedOn w:val="a0"/>
    <w:link w:val="a3"/>
    <w:semiHidden/>
    <w:rPr>
      <w:rFonts w:ascii="Segoe UI" w:hAnsi="Segoe UI" w:cs="Segoe UI"/>
      <w:sz w:val="18"/>
      <w:szCs w:val="18"/>
    </w:rPr>
  </w:style>
  <w:style w:type="character" w:styleId="a4">
    <w:name w:val="Hyperlink"/>
    <w:rPr>
      <w:rFonts w:cs="Times New Roman"/>
      <w:color w:val="0000FF"/>
      <w:u w:val="single" w:color="auto"/>
    </w:rPr>
  </w:style>
  <w:style w:type="character" w:customStyle="1" w:styleId="1">
    <w:name w:val="확인되지 않은 멘션1"/>
    <w:uiPriority w:val="99"/>
    <w:basedOn w:val="a0"/>
    <w:semiHidden/>
    <w:unhideWhenUsed/>
    <w:rPr>
      <w:color w:val="605E5C"/>
      <w:shd w:val="clear" w:color="auto" w:fill="E1DFDD"/>
    </w:rPr>
  </w:style>
  <w:style w:type="paragraph" w:customStyle="1" w:styleId="xmsonormal">
    <w:name w:val="x_msonormal"/>
    <w:basedOn w:val="a"/>
    <w:pPr>
      <w:spacing w:after="0" w:line="240" w:lineRule="auto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Jeehwan Kim</dc:creator>
  <cp:keywords/>
  <dc:description/>
  <cp:lastModifiedBy>user</cp:lastModifiedBy>
  <cp:revision>1</cp:revision>
  <dcterms:created xsi:type="dcterms:W3CDTF">2024-03-25T07:25:00Z</dcterms:created>
  <dcterms:modified xsi:type="dcterms:W3CDTF">2024-03-25T08:33:43Z</dcterms:modified>
  <cp:version>1200.0100.01</cp:version>
</cp:coreProperties>
</file>