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ltrafast dynamics studies of ferroelectric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materials</w:t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Qian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jc w:val="center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Tsinghua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University</w:t>
      </w:r>
      <w:r>
        <w:rPr>
          <w:rFonts w:ascii="Times New Roman" w:hAnsi="Times New Roman" w:cs="Times New Roman"/>
        </w:rPr>
        <w:t>, Beijing 100084, China</w:t>
      </w:r>
      <w:r>
        <w:rPr>
          <w:rFonts w:ascii="Times New Roman" w:hAnsi="Times New Roman" w:cs="Times New Roman"/>
        </w:rPr>
        <w:t xml:space="preserve">; </w:t>
      </w:r>
      <w:r>
        <w:fldChar w:fldCharType="begin"/>
      </w:r>
      <w:r>
        <w:instrText xml:space="preserve"> HYPERLINK "mailto:qianli_mse@tsinghua.edu.cn" </w:instrText>
      </w:r>
      <w:r>
        <w:fldChar w:fldCharType="separate"/>
      </w:r>
      <w:r>
        <w:rPr>
          <w:rFonts w:ascii="Times New Roman" w:hAnsi="Times New Roman" w:hint="eastAsia"/>
        </w:rPr>
        <w:t>q</w:t>
      </w:r>
      <w:r>
        <w:rPr>
          <w:rFonts w:ascii="Times New Roman" w:hAnsi="Times New Roman"/>
        </w:rPr>
        <w:t>ianli_mse@tsinghua.edu.cn</w:t>
      </w:r>
      <w:r>
        <w:fldChar w:fldCharType="end"/>
      </w:r>
    </w:p>
    <w:p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Abstract: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Polarization dynamics in ferroelectric materials is intimately associated with their functional properties and has long been studied using dielectric, infrared/Raman, and inelastic neutron scattering spectroscopies. These conventional methods address the equilibrium state dynamics and have limitations in terms of probing sensitivity, temporal/spatial resolution and mode selectivity. With the development of ultrafast laser technology, ultrafast spectroscopies based on the pump-probe method have been incorporated into ferroelectric studies leading to novel and significant insights about the nonequilibrium state dynamics. In this </w:t>
      </w:r>
      <w:r>
        <w:rPr>
          <w:rFonts w:ascii="Times New Roman" w:hAnsi="Times New Roman" w:cs="Times New Roman" w:hint="eastAsia"/>
          <w:sz w:val="28"/>
          <w:szCs w:val="28"/>
        </w:rPr>
        <w:t>lecture</w:t>
      </w:r>
      <w:r>
        <w:rPr>
          <w:rFonts w:ascii="Times New Roman" w:hAnsi="Times New Roman" w:cs="Times New Roman"/>
          <w:sz w:val="28"/>
          <w:szCs w:val="28"/>
        </w:rPr>
        <w:t xml:space="preserve">, I will give a brief introduction about the ultrafast techniques and instruments, and then discuss our recent results in the terahertz dynamics of polar </w:t>
      </w:r>
      <w:r>
        <w:rPr>
          <w:rFonts w:ascii="Times New Roman" w:hAnsi="Times New Roman" w:cs="Times New Roman"/>
          <w:sz w:val="28"/>
          <w:szCs w:val="28"/>
        </w:rPr>
        <w:t>topological structures</w:t>
      </w:r>
      <w:r>
        <w:rPr>
          <w:rFonts w:ascii="Times New Roman" w:hAnsi="Times New Roman" w:cs="Times New Roman"/>
          <w:sz w:val="28"/>
          <w:szCs w:val="28"/>
        </w:rPr>
        <w:t xml:space="preserve"> as well as second harmonic generation imaging of ferroelectric materials.</w:t>
      </w:r>
    </w:p>
    <w:p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SimSun" w:hAnsi="SimSun"/>
          <w:noProof/>
        </w:rPr>
        <w:drawing>
          <wp:anchor distT="0" distB="0" distL="114300" distR="114300" behindDoc="0" locked="0" layoutInCell="1" simplePos="0" relativeHeight="251659264" allowOverlap="1" hidden="0">
            <wp:simplePos x="0" y="0"/>
            <wp:positionH relativeFrom="column">
              <wp:posOffset>2296470</wp:posOffset>
            </wp:positionH>
            <wp:positionV relativeFrom="paragraph">
              <wp:posOffset>144647</wp:posOffset>
            </wp:positionV>
            <wp:extent cx="1074648" cy="1342732"/>
            <wp:effectExtent l="0" t="0" r="0" b="0"/>
            <wp:wrapNone/>
            <wp:docPr id="1025" name="shape1025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0" r="2768"/>
                    <a:stretch>
                      <a:fillRect/>
                    </a:stretch>
                  </pic:blipFill>
                  <pic:spPr>
                    <a:xfrm>
                      <a:off x="0" y="0"/>
                      <a:ext cx="1074648" cy="134273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Microsoft YaHei" w:hAnsi="Times New Roman" w:cs="Times New Roman"/>
          <w:b/>
          <w:bCs/>
        </w:rPr>
        <w:t xml:space="preserve">Biography: </w:t>
      </w:r>
      <w:r>
        <w:rPr>
          <w:rFonts w:ascii="Times New Roman" w:hAnsi="Times New Roman" w:cs="Times New Roman"/>
        </w:rPr>
        <w:t xml:space="preserve">Qian Li is currently an </w:t>
      </w:r>
      <w:r>
        <w:rPr>
          <w:rFonts w:ascii="Times New Roman" w:hAnsi="Times New Roman" w:cs="Times New Roman"/>
        </w:rPr>
        <w:t>associate</w:t>
      </w:r>
      <w:r>
        <w:rPr>
          <w:rFonts w:ascii="Times New Roman" w:hAnsi="Times New Roman" w:cs="Times New Roman"/>
        </w:rPr>
        <w:t xml:space="preserve"> professor at the School of Materials Science and Engineering</w:t>
      </w:r>
      <w:r>
        <w:rPr>
          <w:rFonts w:ascii="Times New Roman" w:hAnsi="Times New Roman" w:cs="Times New Roman"/>
        </w:rPr>
        <w:t xml:space="preserve"> (SMSE)</w:t>
      </w:r>
      <w:r>
        <w:rPr>
          <w:rFonts w:ascii="Times New Roman" w:hAnsi="Times New Roman" w:cs="Times New Roman"/>
        </w:rPr>
        <w:t xml:space="preserve">, Tsinghua University. He graduated from the Australian National University with a Ph.D. in 2014. He </w:t>
      </w:r>
      <w:r>
        <w:rPr>
          <w:rFonts w:ascii="Times New Roman" w:hAnsi="Times New Roman" w:cs="Times New Roman" w:hint="eastAsia"/>
        </w:rPr>
        <w:t>then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worked as a postdoctoral researcher at Oak Ridge National Laboratory and Argonne National Laboratory in </w:t>
      </w:r>
      <w:r>
        <w:rPr>
          <w:rFonts w:ascii="Times New Roman" w:hAnsi="Times New Roman" w:cs="Times New Roman" w:hint="eastAsia"/>
        </w:rPr>
        <w:t>USA</w:t>
      </w:r>
      <w:r>
        <w:rPr>
          <w:rFonts w:ascii="Times New Roman" w:hAnsi="Times New Roman" w:cs="Times New Roman"/>
        </w:rPr>
        <w:t xml:space="preserve"> before joining in the faculty of SMSE, Tsinghua university in </w:t>
      </w:r>
      <w:r>
        <w:rPr>
          <w:rFonts w:ascii="Times New Roman" w:hAnsi="Times New Roman" w:cs="Times New Roman"/>
        </w:rPr>
        <w:t xml:space="preserve">Dec 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. His research interest includes ferroelectric thin film materials and devices, semiconductor radiation detection crystals, nanoscale material property and ultrafast dynamics characterizations.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 xml:space="preserve">e has published </w:t>
      </w:r>
      <w:r>
        <w:rPr>
          <w:rFonts w:ascii="Times New Roman" w:hAnsi="Times New Roman" w:cs="Times New Roman"/>
        </w:rPr>
        <w:t>some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0 papers in leading </w:t>
      </w:r>
      <w:r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ournals such as </w:t>
      </w:r>
      <w:r>
        <w:rPr>
          <w:rFonts w:ascii="Times New Roman" w:hAnsi="Times New Roman" w:cs="Times New Roman"/>
          <w:i/>
          <w:iCs/>
        </w:rPr>
        <w:t>Nature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</w:rPr>
        <w:t>Science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i/>
          <w:iCs/>
        </w:rPr>
        <w:t>Nature Communications</w:t>
      </w:r>
      <w:r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Advanced Materials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He also serves as a youth editorial board member of </w:t>
      </w:r>
      <w:r>
        <w:rPr>
          <w:rFonts w:ascii="Times New Roman" w:hAnsi="Times New Roman" w:cs="Times New Roman"/>
          <w:i/>
          <w:iCs/>
        </w:rPr>
        <w:t xml:space="preserve">Journal of </w:t>
      </w:r>
      <w:r>
        <w:rPr>
          <w:rFonts w:ascii="Times New Roman" w:hAnsi="Times New Roman" w:cs="Times New Roman"/>
          <w:i/>
          <w:iCs/>
        </w:rPr>
        <w:t>Materiomics</w:t>
      </w:r>
      <w:r>
        <w:rPr>
          <w:rFonts w:ascii="Times New Roman" w:hAnsi="Times New Roman" w:cs="Times New Roman"/>
        </w:rPr>
        <w:t xml:space="preserve">.   </w:t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00"/>
    <w:notTrueType w:val="false"/>
    <w:sig w:usb0="E0002EFF" w:usb1="C000785B" w:usb2="00000009" w:usb3="00000001" w:csb0="400001FF" w:csb1="FFFF0000"/>
  </w:font>
  <w:font w:name="SimSun">
    <w:panose1 w:val="02010600030101010101"/>
    <w:family w:val="auto"/>
    <w:charset w:val="86"/>
    <w:notTrueType w:val="false"/>
    <w:sig w:usb0="00000203" w:usb1="288F0000" w:usb2="00000006" w:usb3="00000001" w:csb0="00040001" w:csb1="00000001"/>
  </w:font>
  <w:font w:name="Microsoft YaHei">
    <w:panose1 w:val="020B0503020204020204"/>
    <w:family w:val="swiss"/>
    <w:charset w:val="86"/>
    <w:notTrueType w:val="false"/>
    <w:sig w:usb0="80000287" w:usb1="2ACF3C50" w:usb2="00000016" w:usb3="00000001" w:csb0="0004001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92"/>
  <w:removePersonalInformation/>
  <w:bordersDontSurroundHeader/>
  <w:bordersDontSurroundFooter/>
  <w:hideGrammaticalErrors/>
  <w:proofState w:spelling="clean" w:grammar="clean"/>
  <w:defaultTabStop w:val="72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zh-CN" w:bidi="ar-SA"/>
        <w:rFonts w:asciiTheme="minorHAnsi" w:eastAsiaTheme="minorEastAsia" w:hAnsiTheme="minorHAnsi" w:cstheme="minorBidi"/>
        <w:sz w:val="24"/>
        <w:szCs w:val="24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basedOn w:val="DefaultParagraphFont"/>
    <w:unhideWhenUsed/>
    <w:rPr>
      <w:color w:val="0563C1"/>
      <w:u w:val="single" w:color="auto"/>
    </w:rPr>
  </w:style>
  <w:style w:type="character" w:customStyle="1" w:styleId="UnresolvedMention">
    <w:name w:val="Unresolved Mention"/>
    <w:uiPriority w:val="99"/>
    <w:basedOn w:val="DefaultParagraphFont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uiPriority w:val="99"/>
    <w:basedOn w:val="DefaultParagraphFont"/>
    <w:semiHidden/>
    <w:unhideWhenUsed/>
    <w:rPr>
      <w:color w:val="954F72"/>
      <w:u w:val="single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 Li</dc:creator>
  <cp:keywords/>
  <dc:description/>
  <cp:lastModifiedBy>user</cp:lastModifiedBy>
  <cp:revision>1</cp:revision>
  <dcterms:created xsi:type="dcterms:W3CDTF">2022-10-02T06:32:00Z</dcterms:created>
  <dcterms:modified xsi:type="dcterms:W3CDTF">2023-05-08T01:07:57Z</dcterms:modified>
  <cp:version>1200.0100.01</cp:version>
</cp:coreProperties>
</file>